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32"/>
          <w:szCs w:val="32"/>
          <w:shd w:fill="d9d9d9" w:val="clear"/>
          <w:vertAlign w:val="baseline"/>
          <w:rtl w:val="0"/>
        </w:rPr>
        <w:t xml:space="preserve">7</w:t>
      </w:r>
      <w:r w:rsidDel="00000000" w:rsidR="00000000" w:rsidRPr="00000000">
        <w:rPr>
          <w:rFonts w:ascii="Times New Roman" w:cs="Times New Roman" w:eastAsia="Times New Roman" w:hAnsi="Times New Roman"/>
          <w:b w:val="1"/>
          <w:color w:val="000000"/>
          <w:sz w:val="32"/>
          <w:szCs w:val="32"/>
          <w:shd w:fill="d9d9d9" w:val="clear"/>
          <w:vertAlign w:val="superscript"/>
          <w:rtl w:val="0"/>
        </w:rPr>
        <w:t xml:space="preserve">th</w:t>
      </w:r>
      <w:r w:rsidDel="00000000" w:rsidR="00000000" w:rsidRPr="00000000">
        <w:rPr>
          <w:rFonts w:ascii="Times New Roman" w:cs="Times New Roman" w:eastAsia="Times New Roman" w:hAnsi="Times New Roman"/>
          <w:b w:val="1"/>
          <w:color w:val="000000"/>
          <w:sz w:val="32"/>
          <w:szCs w:val="32"/>
          <w:shd w:fill="d9d9d9" w:val="clear"/>
          <w:vertAlign w:val="baseline"/>
          <w:rtl w:val="0"/>
        </w:rPr>
        <w:t xml:space="preserve"> Grade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32"/>
          <w:szCs w:val="32"/>
          <w:shd w:fill="d9d9d9" w:val="clear"/>
          <w:vertAlign w:val="baseline"/>
          <w:rtl w:val="0"/>
        </w:rPr>
        <w:t xml:space="preserve">At-a-Glance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32"/>
          <w:szCs w:val="32"/>
          <w:shd w:fill="d9d9d9" w:val="clear"/>
          <w:vertAlign w:val="baseline"/>
          <w:rtl w:val="0"/>
        </w:rPr>
        <w:t xml:space="preserve">2015-2016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vertAlign w:val="baseline"/>
          <w:rtl w:val="0"/>
        </w:rPr>
        <w:t xml:space="preserve">Please note:  It is very important to follow the order of this pacing guide.  As students move from one school to another within the district, students’ transitional periods will be made seamless.</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900ff"/>
          <w:sz w:val="47"/>
          <w:szCs w:val="47"/>
          <w:highlight w:val="white"/>
          <w:vertAlign w:val="baseline"/>
          <w:rtl w:val="0"/>
        </w:rPr>
        <w:t xml:space="preserve">Unit I--Inquiry and Human Body </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900ff"/>
          <w:sz w:val="47"/>
          <w:szCs w:val="47"/>
          <w:highlight w:val="white"/>
          <w:vertAlign w:val="baseline"/>
          <w:rtl w:val="0"/>
        </w:rPr>
        <w:t xml:space="preserve">8/20-10/</w:t>
      </w:r>
      <w:r w:rsidDel="00000000" w:rsidR="00000000" w:rsidRPr="00000000">
        <w:rPr>
          <w:b w:val="1"/>
          <w:color w:val="9900ff"/>
          <w:sz w:val="47"/>
          <w:szCs w:val="47"/>
          <w:highlight w:val="white"/>
          <w:rtl w:val="0"/>
        </w:rPr>
        <w:t xml:space="preserve">30</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47"/>
          <w:szCs w:val="47"/>
          <w:highlight w:val="white"/>
          <w:vertAlign w:val="baseline"/>
          <w:rtl w:val="0"/>
        </w:rPr>
        <w:t xml:space="preserve">Benchmark Window 10/2</w:t>
      </w:r>
      <w:r w:rsidDel="00000000" w:rsidR="00000000" w:rsidRPr="00000000">
        <w:rPr>
          <w:b w:val="1"/>
          <w:color w:val="ff0000"/>
          <w:sz w:val="47"/>
          <w:szCs w:val="47"/>
          <w:highlight w:val="white"/>
          <w:rtl w:val="0"/>
        </w:rPr>
        <w:t xml:space="preserve">3</w:t>
      </w:r>
      <w:r w:rsidDel="00000000" w:rsidR="00000000" w:rsidRPr="00000000">
        <w:rPr>
          <w:b w:val="1"/>
          <w:color w:val="ff0000"/>
          <w:sz w:val="47"/>
          <w:szCs w:val="47"/>
          <w:highlight w:val="white"/>
          <w:vertAlign w:val="baseline"/>
          <w:rtl w:val="0"/>
        </w:rPr>
        <w:t xml:space="preserve">-11/</w:t>
      </w:r>
      <w:r w:rsidDel="00000000" w:rsidR="00000000" w:rsidRPr="00000000">
        <w:rPr>
          <w:b w:val="1"/>
          <w:color w:val="ff0000"/>
          <w:sz w:val="47"/>
          <w:szCs w:val="47"/>
          <w:highlight w:val="white"/>
          <w:rtl w:val="0"/>
        </w:rPr>
        <w:t xml:space="preserve">6</w:t>
      </w:r>
      <w:r w:rsidDel="00000000" w:rsidR="00000000" w:rsidRPr="00000000">
        <w:rPr>
          <w:rtl w:val="0"/>
        </w:rPr>
      </w:r>
    </w:p>
    <w:tbl>
      <w:tblPr>
        <w:tblStyle w:val="Table1"/>
        <w:bidi w:val="0"/>
        <w:tblW w:w="8730.0" w:type="dxa"/>
        <w:jc w:val="left"/>
        <w:tblInd w:w="-45.0" w:type="dxa"/>
        <w:tblBorders>
          <w:top w:color="cccccc" w:space="0" w:sz="6" w:val="single"/>
          <w:left w:color="cccccc" w:space="0" w:sz="6" w:val="single"/>
          <w:bottom w:color="cccccc" w:space="0" w:sz="6" w:val="single"/>
          <w:right w:color="cccccc" w:space="0" w:sz="6" w:val="single"/>
          <w:insideH w:color="000000" w:space="0" w:sz="0" w:val="nil"/>
          <w:insideV w:color="000000" w:space="0" w:sz="0" w:val="nil"/>
        </w:tblBorders>
        <w:tblLayout w:type="fixed"/>
        <w:tblLook w:val="0000"/>
      </w:tblPr>
      <w:tblGrid>
        <w:gridCol w:w="1773"/>
        <w:gridCol w:w="6957"/>
        <w:tblGridChange w:id="0">
          <w:tblGrid>
            <w:gridCol w:w="1773"/>
            <w:gridCol w:w="6957"/>
          </w:tblGrid>
        </w:tblGridChange>
      </w:tblGrid>
      <w:tr>
        <w:trPr>
          <w:trHeight w:val="516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Inquiry Indicators: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vertAlign w:val="baseline"/>
                <w:rtl w:val="0"/>
              </w:rPr>
              <w:t xml:space="preserve">7-1.1 Use appropriate tools and instruments (including a microscope) safely and accurately when conducting a controlled scientific investigation.</w:t>
              <w:br w:type="textWrapping"/>
              <w:t xml:space="preserve">7-1.2 Generate questions that can be answered through scientific investigation.</w:t>
              <w:br w:type="textWrapping"/>
              <w:t xml:space="preserve">***7-1.3 Explain the reasons for testing one independent variable at a time in a controlled scientific investigation.</w:t>
              <w:br w:type="textWrapping"/>
              <w:t xml:space="preserve">***7-1.4 Explain the importance that repeated trials and a well-chosen sample size have with regard to the validity of a controlled investigation.</w:t>
              <w:br w:type="textWrapping"/>
              <w:t xml:space="preserve">7-1.5 Explain the relationships between independent and dependent variables in a controlled scientific investigation through the use of appropriate graphs, tables, and charts.</w:t>
              <w:br w:type="textWrapping"/>
              <w:t xml:space="preserve">7-1.6 Critique a conclusion drawn from a scientific investigation.</w:t>
              <w:br w:type="textWrapping"/>
              <w:t xml:space="preserve">7-1.7 Use appropriate safety procedures when conducting when conducting investigations.</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 THESE INDICATORS WILL BE TESTED IN THIS UNIT'S BENCHMARK</w:t>
            </w:r>
            <w:r w:rsidDel="00000000" w:rsidR="00000000" w:rsidRPr="00000000">
              <w:rPr>
                <w:rtl w:val="0"/>
              </w:rPr>
            </w:r>
          </w:p>
        </w:tc>
      </w:tr>
      <w:tr>
        <w:trPr>
          <w:trHeight w:val="300" w:hRule="atLeast"/>
        </w:trPr>
        <w:tc>
          <w:tcPr>
            <w:gridSpan w:val="2"/>
            <w:tcBorders>
              <w:top w:color="000000" w:space="0" w:sz="4" w:val="single"/>
              <w:left w:color="cccccc" w:space="0" w:sz="6" w:val="single"/>
              <w:bottom w:color="000000" w:space="0" w:sz="4" w:val="single"/>
              <w:right w:color="cccccc" w:space="0" w:sz="6"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r>
        <w:trPr>
          <w:trHeight w:val="320" w:hRule="atLeast"/>
        </w:trPr>
        <w:tc>
          <w:tcPr>
            <w:vMerge w:val="restart"/>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Content Indicators: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sz w:val="28"/>
                <w:szCs w:val="28"/>
                <w:vertAlign w:val="baseline"/>
                <w:rtl w:val="0"/>
              </w:rPr>
              <w:t xml:space="preserve">LIFE SCIENCE CONTENT STANDARDS</w:t>
              <w:br w:type="textWrapping"/>
            </w:r>
            <w:r w:rsidDel="00000000" w:rsidR="00000000" w:rsidRPr="00000000">
              <w:rPr>
                <w:vertAlign w:val="baseline"/>
                <w:rtl w:val="0"/>
              </w:rPr>
              <w:t xml:space="preserve">7-3.1 Summarize the levels of structural organization within the human body (including cells, tissues, organs, and systems).</w:t>
              <w:br w:type="textWrapping"/>
              <w:t xml:space="preserve">7-3.2 Recall the major organs of the human body and their function within their particular body system.</w:t>
              <w:br w:type="textWrapping"/>
              <w:t xml:space="preserve">7-3.3 Summarize the relationships of the major body systems (including the circulatory, respiratory, digestive, excretory, nervous, muscular, and skeletal systems)</w:t>
            </w:r>
            <w:r w:rsidDel="00000000" w:rsidR="00000000" w:rsidRPr="00000000">
              <w:rPr>
                <w:rtl w:val="0"/>
              </w:rPr>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tbl>
      <w:tblPr>
        <w:tblStyle w:val="Table2"/>
        <w:bidi w:val="0"/>
        <w:tblW w:w="856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6480"/>
        <w:tblGridChange w:id="0">
          <w:tblGrid>
            <w:gridCol w:w="2088"/>
            <w:gridCol w:w="6480"/>
          </w:tblGrid>
        </w:tblGridChange>
      </w:tblGrid>
      <w:tr>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2"/>
                <w:szCs w:val="32"/>
                <w:vertAlign w:val="baseline"/>
                <w:rtl w:val="0"/>
              </w:rPr>
              <w:t xml:space="preserve">Dates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2"/>
                <w:szCs w:val="32"/>
                <w:vertAlign w:val="baseline"/>
                <w:rtl w:val="0"/>
              </w:rPr>
              <w:t xml:space="preserve">Learning Tasks and Activities</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32"/>
                <w:szCs w:val="32"/>
                <w:highlight w:val="white"/>
                <w:vertAlign w:val="baseline"/>
                <w:rtl w:val="0"/>
              </w:rPr>
              <w:t xml:space="preserve">8/20-9/</w:t>
            </w:r>
            <w:r w:rsidDel="00000000" w:rsidR="00000000" w:rsidRPr="00000000">
              <w:rPr>
                <w:rFonts w:ascii="Arial" w:cs="Arial" w:eastAsia="Arial" w:hAnsi="Arial"/>
                <w:sz w:val="32"/>
                <w:szCs w:val="32"/>
                <w:highlight w:val="white"/>
                <w:rtl w:val="0"/>
              </w:rPr>
              <w:t xml:space="preserve">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Class Intro, Safety, and Notebook Setup </w:t>
            </w:r>
            <w:r w:rsidDel="00000000" w:rsidR="00000000" w:rsidRPr="00000000">
              <w:rPr>
                <w:rFonts w:ascii="Arial" w:cs="Arial" w:eastAsia="Arial" w:hAnsi="Arial"/>
                <w:highlight w:val="yellow"/>
                <w:vertAlign w:val="baseline"/>
                <w:rtl w:val="0"/>
              </w:rPr>
              <w:t xml:space="preserve">safety video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w:t>
            </w:r>
            <w:r w:rsidDel="00000000" w:rsidR="00000000" w:rsidRPr="00000000">
              <w:rPr>
                <w:rFonts w:ascii="Arial" w:cs="Arial" w:eastAsia="Arial" w:hAnsi="Arial"/>
                <w:vertAlign w:val="baseline"/>
                <w:rtl w:val="0"/>
              </w:rPr>
              <w:t xml:space="preserve">1 Save Fred!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w:t>
            </w:r>
            <w:r w:rsidDel="00000000" w:rsidR="00000000" w:rsidRPr="00000000">
              <w:rPr>
                <w:rFonts w:ascii="Arial" w:cs="Arial" w:eastAsia="Arial" w:hAnsi="Arial"/>
                <w:vertAlign w:val="baseline"/>
                <w:rtl w:val="0"/>
              </w:rPr>
              <w:t xml:space="preserve">2 The Pellagra Story </w:t>
            </w:r>
            <w:r w:rsidDel="00000000" w:rsidR="00000000" w:rsidRPr="00000000">
              <w:rPr>
                <w:rFonts w:ascii="Arial" w:cs="Arial" w:eastAsia="Arial" w:hAnsi="Arial"/>
                <w:highlight w:val="yellow"/>
                <w:vertAlign w:val="baseline"/>
                <w:rtl w:val="0"/>
              </w:rPr>
              <w:t xml:space="preserve">w/video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w:t>
            </w:r>
            <w:r w:rsidDel="00000000" w:rsidR="00000000" w:rsidRPr="00000000">
              <w:rPr>
                <w:rFonts w:ascii="Arial" w:cs="Arial" w:eastAsia="Arial" w:hAnsi="Arial"/>
                <w:vertAlign w:val="baseline"/>
                <w:rtl w:val="0"/>
              </w:rPr>
              <w:t xml:space="preserve"> 3 Testing Medicines </w:t>
            </w:r>
            <w:r w:rsidDel="00000000" w:rsidR="00000000" w:rsidRPr="00000000">
              <w:rPr>
                <w:rFonts w:ascii="Arial" w:cs="Arial" w:eastAsia="Arial" w:hAnsi="Arial"/>
                <w:highlight w:val="yellow"/>
                <w:rtl w:val="0"/>
              </w:rPr>
              <w:t xml:space="preserve">submit data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Teacher Choice-Variables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highlight w:val="yellow"/>
                <w:vertAlign w:val="baseline"/>
                <w:rtl w:val="0"/>
              </w:rPr>
              <w:t xml:space="preserve">Growing Plants Gizmo</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32"/>
                <w:szCs w:val="32"/>
                <w:highlight w:val="white"/>
                <w:vertAlign w:val="baseline"/>
                <w:rtl w:val="0"/>
              </w:rPr>
              <w:t xml:space="preserve">9/8-9/1</w:t>
            </w:r>
            <w:r w:rsidDel="00000000" w:rsidR="00000000" w:rsidRPr="00000000">
              <w:rPr>
                <w:rFonts w:ascii="Arial" w:cs="Arial" w:eastAsia="Arial" w:hAnsi="Arial"/>
                <w:sz w:val="32"/>
                <w:szCs w:val="32"/>
                <w:highlight w:val="white"/>
                <w:rtl w:val="0"/>
              </w:rPr>
              <w:t xml:space="preserve">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SEPUP 5 Can you feel the Difference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w:t>
            </w:r>
            <w:r w:rsidDel="00000000" w:rsidR="00000000" w:rsidRPr="00000000">
              <w:rPr>
                <w:rFonts w:ascii="Arial" w:cs="Arial" w:eastAsia="Arial" w:hAnsi="Arial"/>
                <w:vertAlign w:val="baseline"/>
                <w:rtl w:val="0"/>
              </w:rPr>
              <w:t xml:space="preserve">7 Studying People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w:t>
            </w:r>
            <w:r w:rsidDel="00000000" w:rsidR="00000000" w:rsidRPr="00000000">
              <w:rPr>
                <w:rFonts w:ascii="Arial" w:cs="Arial" w:eastAsia="Arial" w:hAnsi="Arial"/>
                <w:rtl w:val="0"/>
              </w:rPr>
              <w:t xml:space="preserve">EPUP</w:t>
            </w:r>
            <w:r w:rsidDel="00000000" w:rsidR="00000000" w:rsidRPr="00000000">
              <w:rPr>
                <w:rFonts w:ascii="Arial" w:cs="Arial" w:eastAsia="Arial" w:hAnsi="Arial"/>
                <w:vertAlign w:val="baseline"/>
                <w:rtl w:val="0"/>
              </w:rPr>
              <w:t xml:space="preserve"> 8 Data Toss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w:t>
            </w:r>
            <w:r w:rsidDel="00000000" w:rsidR="00000000" w:rsidRPr="00000000">
              <w:rPr>
                <w:rFonts w:ascii="Arial" w:cs="Arial" w:eastAsia="Arial" w:hAnsi="Arial"/>
                <w:rtl w:val="0"/>
              </w:rPr>
              <w:t xml:space="preserve">EPUP</w:t>
            </w:r>
            <w:r w:rsidDel="00000000" w:rsidR="00000000" w:rsidRPr="00000000">
              <w:rPr>
                <w:rFonts w:ascii="Arial" w:cs="Arial" w:eastAsia="Arial" w:hAnsi="Arial"/>
                <w:vertAlign w:val="baseline"/>
                <w:rtl w:val="0"/>
              </w:rPr>
              <w:t xml:space="preserve"> 10 Evaluating Clinical Trials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Teacher Choice Technological Design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 Inquiry</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32"/>
                <w:szCs w:val="32"/>
                <w:highlight w:val="white"/>
                <w:vertAlign w:val="baseline"/>
                <w:rtl w:val="0"/>
              </w:rPr>
              <w:t xml:space="preserve">9/</w:t>
            </w:r>
            <w:r w:rsidDel="00000000" w:rsidR="00000000" w:rsidRPr="00000000">
              <w:rPr>
                <w:rFonts w:ascii="Arial" w:cs="Arial" w:eastAsia="Arial" w:hAnsi="Arial"/>
                <w:sz w:val="32"/>
                <w:szCs w:val="32"/>
                <w:highlight w:val="white"/>
                <w:rtl w:val="0"/>
              </w:rPr>
              <w:t xml:space="preserve">21-10/2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SEP</w:t>
            </w:r>
            <w:r w:rsidDel="00000000" w:rsidR="00000000" w:rsidRPr="00000000">
              <w:rPr>
                <w:rFonts w:ascii="Arial" w:cs="Arial" w:eastAsia="Arial" w:hAnsi="Arial"/>
                <w:rtl w:val="0"/>
              </w:rPr>
              <w:t xml:space="preserve">UP</w:t>
            </w:r>
            <w:r w:rsidDel="00000000" w:rsidR="00000000" w:rsidRPr="00000000">
              <w:rPr>
                <w:rFonts w:ascii="Arial" w:cs="Arial" w:eastAsia="Arial" w:hAnsi="Arial"/>
                <w:vertAlign w:val="baseline"/>
                <w:rtl w:val="0"/>
              </w:rPr>
              <w:t xml:space="preserve"> 12 What’s Happening Inside</w:t>
            </w:r>
          </w:p>
          <w:p w:rsidR="00000000" w:rsidDel="00000000" w:rsidP="00000000" w:rsidRDefault="00000000" w:rsidRPr="00000000">
            <w:pPr>
              <w:contextualSpacing w:val="0"/>
            </w:pPr>
            <w:r w:rsidDel="00000000" w:rsidR="00000000" w:rsidRPr="00000000">
              <w:rPr>
                <w:rFonts w:ascii="Arial" w:cs="Arial" w:eastAsia="Arial" w:hAnsi="Arial"/>
                <w:highlight w:val="yellow"/>
                <w:rtl w:val="0"/>
              </w:rPr>
              <w:t xml:space="preserve">Build a Body app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w:t>
            </w:r>
            <w:r w:rsidDel="00000000" w:rsidR="00000000" w:rsidRPr="00000000">
              <w:rPr>
                <w:rFonts w:ascii="Arial" w:cs="Arial" w:eastAsia="Arial" w:hAnsi="Arial"/>
                <w:rtl w:val="0"/>
              </w:rPr>
              <w:t xml:space="preserve">PUP</w:t>
            </w:r>
            <w:r w:rsidDel="00000000" w:rsidR="00000000" w:rsidRPr="00000000">
              <w:rPr>
                <w:rFonts w:ascii="Arial" w:cs="Arial" w:eastAsia="Arial" w:hAnsi="Arial"/>
                <w:vertAlign w:val="baseline"/>
                <w:rtl w:val="0"/>
              </w:rPr>
              <w:t xml:space="preserve"> 14 Breakdown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SEP</w:t>
            </w:r>
            <w:r w:rsidDel="00000000" w:rsidR="00000000" w:rsidRPr="00000000">
              <w:rPr>
                <w:rFonts w:ascii="Arial" w:cs="Arial" w:eastAsia="Arial" w:hAnsi="Arial"/>
                <w:rtl w:val="0"/>
              </w:rPr>
              <w:t xml:space="preserve">UP</w:t>
            </w:r>
            <w:r w:rsidDel="00000000" w:rsidR="00000000" w:rsidRPr="00000000">
              <w:rPr>
                <w:rFonts w:ascii="Arial" w:cs="Arial" w:eastAsia="Arial" w:hAnsi="Arial"/>
                <w:vertAlign w:val="baseline"/>
                <w:rtl w:val="0"/>
              </w:rPr>
              <w:t xml:space="preserve"> 15 Digestion-An Absorbing Tale</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sz w:val="32"/>
                <w:szCs w:val="32"/>
                <w:highlight w:val="white"/>
                <w:rtl w:val="0"/>
              </w:rPr>
              <w:t xml:space="preserve">10/5-10/16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Teacher choice Digestive System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highlight w:val="yellow"/>
                <w:vertAlign w:val="baseline"/>
                <w:rtl w:val="0"/>
              </w:rPr>
              <w:t xml:space="preserve">Digestive System Gizmo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highlight w:val="yellow"/>
                <w:vertAlign w:val="baseline"/>
                <w:rtl w:val="0"/>
              </w:rPr>
              <w:t xml:space="preserve">I love My Pancreas-You Tube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SEP</w:t>
            </w:r>
            <w:r w:rsidDel="00000000" w:rsidR="00000000" w:rsidRPr="00000000">
              <w:rPr>
                <w:rFonts w:ascii="Arial" w:cs="Arial" w:eastAsia="Arial" w:hAnsi="Arial"/>
                <w:rtl w:val="0"/>
              </w:rPr>
              <w:t xml:space="preserve">UP</w:t>
            </w:r>
            <w:r w:rsidDel="00000000" w:rsidR="00000000" w:rsidRPr="00000000">
              <w:rPr>
                <w:rFonts w:ascii="Arial" w:cs="Arial" w:eastAsia="Arial" w:hAnsi="Arial"/>
                <w:vertAlign w:val="baseline"/>
                <w:rtl w:val="0"/>
              </w:rPr>
              <w:t xml:space="preserve"> 17 Gas Exchange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Teacher Choice-Respiratory /Excretory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highlight w:val="yellow"/>
                <w:vertAlign w:val="baseline"/>
                <w:rtl w:val="0"/>
              </w:rPr>
              <w:t xml:space="preserve">Breathing/Respiration-Smart-Board Activity</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32"/>
                <w:szCs w:val="32"/>
                <w:highlight w:val="white"/>
                <w:vertAlign w:val="baseline"/>
                <w:rtl w:val="0"/>
              </w:rPr>
              <w:t xml:space="preserve">10/1</w:t>
            </w:r>
            <w:r w:rsidDel="00000000" w:rsidR="00000000" w:rsidRPr="00000000">
              <w:rPr>
                <w:rFonts w:ascii="Arial" w:cs="Arial" w:eastAsia="Arial" w:hAnsi="Arial"/>
                <w:sz w:val="32"/>
                <w:szCs w:val="32"/>
                <w:highlight w:val="white"/>
                <w:rtl w:val="0"/>
              </w:rPr>
              <w:t xml:space="preserve">9</w:t>
            </w:r>
            <w:r w:rsidDel="00000000" w:rsidR="00000000" w:rsidRPr="00000000">
              <w:rPr>
                <w:rFonts w:ascii="Arial" w:cs="Arial" w:eastAsia="Arial" w:hAnsi="Arial"/>
                <w:color w:val="000000"/>
                <w:sz w:val="32"/>
                <w:szCs w:val="32"/>
                <w:highlight w:val="white"/>
                <w:vertAlign w:val="baseline"/>
                <w:rtl w:val="0"/>
              </w:rPr>
              <w:t xml:space="preserve">-10/</w:t>
            </w:r>
            <w:r w:rsidDel="00000000" w:rsidR="00000000" w:rsidRPr="00000000">
              <w:rPr>
                <w:rFonts w:ascii="Arial" w:cs="Arial" w:eastAsia="Arial" w:hAnsi="Arial"/>
                <w:sz w:val="32"/>
                <w:szCs w:val="32"/>
                <w:highlight w:val="white"/>
                <w:rtl w:val="0"/>
              </w:rPr>
              <w:t xml:space="preserve">30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Teacher Choice-Circulatory System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Teacher Choice Nervous</w:t>
            </w:r>
            <w:r w:rsidDel="00000000" w:rsidR="00000000" w:rsidRPr="00000000">
              <w:rPr>
                <w:rFonts w:ascii="Arial" w:cs="Arial" w:eastAsia="Arial" w:hAnsi="Arial"/>
                <w:rtl w:val="0"/>
              </w:rPr>
              <w:t xml:space="preserve"> System</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6 Finding the Nerve</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Teachers Choice Integumentary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highlight w:val="yellow"/>
                <w:vertAlign w:val="baseline"/>
                <w:rtl w:val="0"/>
              </w:rPr>
              <w:t xml:space="preserve">Circulatory System Gizmo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highlight w:val="yellow"/>
                <w:vertAlign w:val="baseline"/>
                <w:rtl w:val="0"/>
              </w:rPr>
              <w:t xml:space="preserve">The Blood Mobile You Tube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highlight w:val="yellow"/>
                <w:vertAlign w:val="baseline"/>
                <w:rtl w:val="0"/>
              </w:rPr>
              <w:t xml:space="preserve">School House Rock ---The??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highlight w:val="yellow"/>
                <w:vertAlign w:val="baseline"/>
                <w:rtl w:val="0"/>
              </w:rPr>
              <w:t xml:space="preserve">Nervous System/Circulatory System YouTube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w:t>
            </w:r>
            <w:r w:rsidDel="00000000" w:rsidR="00000000" w:rsidRPr="00000000">
              <w:rPr>
                <w:rFonts w:ascii="Arial" w:cs="Arial" w:eastAsia="Arial" w:hAnsi="Arial"/>
                <w:rtl w:val="0"/>
              </w:rPr>
              <w:t xml:space="preserve">PUP </w:t>
            </w:r>
            <w:r w:rsidDel="00000000" w:rsidR="00000000" w:rsidRPr="00000000">
              <w:rPr>
                <w:rFonts w:ascii="Arial" w:cs="Arial" w:eastAsia="Arial" w:hAnsi="Arial"/>
                <w:vertAlign w:val="baseline"/>
                <w:rtl w:val="0"/>
              </w:rPr>
              <w:t xml:space="preserve">16 Support System: Bones, Joints, and Muscles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SEP</w:t>
            </w:r>
            <w:r w:rsidDel="00000000" w:rsidR="00000000" w:rsidRPr="00000000">
              <w:rPr>
                <w:rFonts w:ascii="Arial" w:cs="Arial" w:eastAsia="Arial" w:hAnsi="Arial"/>
                <w:rtl w:val="0"/>
              </w:rPr>
              <w:t xml:space="preserve">UP</w:t>
            </w:r>
            <w:r w:rsidDel="00000000" w:rsidR="00000000" w:rsidRPr="00000000">
              <w:rPr>
                <w:rFonts w:ascii="Arial" w:cs="Arial" w:eastAsia="Arial" w:hAnsi="Arial"/>
                <w:vertAlign w:val="baseline"/>
                <w:rtl w:val="0"/>
              </w:rPr>
              <w:t xml:space="preserve"> 18 The Circulation Game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Teachers Choice Body Systems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Review/Benchmark</w:t>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900ff"/>
          <w:sz w:val="47"/>
          <w:szCs w:val="47"/>
          <w:highlight w:val="white"/>
          <w:vertAlign w:val="baseline"/>
          <w:rtl w:val="0"/>
        </w:rPr>
        <w:t xml:space="preserve">UNIT 2 – CELLS AND HEREDITY 10/30-1/</w:t>
      </w:r>
      <w:r w:rsidDel="00000000" w:rsidR="00000000" w:rsidRPr="00000000">
        <w:rPr>
          <w:b w:val="1"/>
          <w:color w:val="9900ff"/>
          <w:sz w:val="47"/>
          <w:szCs w:val="47"/>
          <w:highlight w:val="white"/>
          <w:rtl w:val="0"/>
        </w:rPr>
        <w:t xml:space="preserve">8</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47"/>
          <w:szCs w:val="47"/>
          <w:highlight w:val="white"/>
          <w:vertAlign w:val="baseline"/>
          <w:rtl w:val="0"/>
        </w:rPr>
        <w:t xml:space="preserve">Benchmark Window 12/1</w:t>
      </w:r>
      <w:r w:rsidDel="00000000" w:rsidR="00000000" w:rsidRPr="00000000">
        <w:rPr>
          <w:b w:val="1"/>
          <w:color w:val="ff0000"/>
          <w:sz w:val="47"/>
          <w:szCs w:val="47"/>
          <w:highlight w:val="white"/>
          <w:rtl w:val="0"/>
        </w:rPr>
        <w:t xml:space="preserve">7-1</w:t>
      </w:r>
      <w:r w:rsidDel="00000000" w:rsidR="00000000" w:rsidRPr="00000000">
        <w:rPr>
          <w:b w:val="1"/>
          <w:color w:val="ff0000"/>
          <w:sz w:val="47"/>
          <w:szCs w:val="47"/>
          <w:highlight w:val="white"/>
          <w:vertAlign w:val="baseline"/>
          <w:rtl w:val="0"/>
        </w:rPr>
        <w:t xml:space="preserve">/14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8640.0" w:type="dxa"/>
        <w:jc w:val="left"/>
        <w:tblInd w:w="-45.0" w:type="dxa"/>
        <w:tblBorders>
          <w:top w:color="cccccc" w:space="0" w:sz="6" w:val="single"/>
          <w:left w:color="cccccc" w:space="0" w:sz="6" w:val="single"/>
          <w:bottom w:color="cccccc" w:space="0" w:sz="6" w:val="single"/>
          <w:right w:color="cccccc" w:space="0" w:sz="6" w:val="single"/>
          <w:insideH w:color="000000" w:space="0" w:sz="0" w:val="nil"/>
          <w:insideV w:color="000000" w:space="0" w:sz="0" w:val="nil"/>
        </w:tblBorders>
        <w:tblLayout w:type="fixed"/>
        <w:tblLook w:val="0000"/>
      </w:tblPr>
      <w:tblGrid>
        <w:gridCol w:w="1760"/>
        <w:gridCol w:w="6880"/>
        <w:tblGridChange w:id="0">
          <w:tblGrid>
            <w:gridCol w:w="1760"/>
            <w:gridCol w:w="6880"/>
          </w:tblGrid>
        </w:tblGridChange>
      </w:tblGrid>
      <w:tr>
        <w:trPr>
          <w:trHeight w:val="516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jc w:val="center"/>
            </w:pPr>
            <w:r w:rsidDel="00000000" w:rsidR="00000000" w:rsidRPr="00000000">
              <w:rPr>
                <w:b w:val="1"/>
                <w:sz w:val="28"/>
                <w:szCs w:val="28"/>
                <w:rtl w:val="0"/>
              </w:rPr>
              <w:t xml:space="preserve">Inquiry Indicators: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7-1.1 Use appropriate tools and instruments (including a microscope) safely and accurately when conducting a controlled scientific investigation.</w:t>
              <w:br w:type="textWrapping"/>
              <w:t xml:space="preserve">7-1.2 Generate questions that can be answered through scientific investigation.</w:t>
              <w:br w:type="textWrapping"/>
              <w:t xml:space="preserve">7-1.3 Explain the reasons for testing one independent variable at a time in a controlled scientific investigation.</w:t>
              <w:br w:type="textWrapping"/>
              <w:t xml:space="preserve">7-1.4 Explain the importance that repeated trials and a well-chosen sample size have with regard to the validity of a controlled investigation.</w:t>
              <w:br w:type="textWrapping"/>
              <w:t xml:space="preserve">***7-1.5 Explain the relationships between independent and dependent variables in a controlled scientific investigation through the use of appropriate graphs, tables, and charts.</w:t>
              <w:br w:type="textWrapping"/>
              <w:t xml:space="preserve">7-1.6 Critique a conclusion drawn from a scientific investigation.</w:t>
              <w:br w:type="textWrapping"/>
              <w:t xml:space="preserve">7-1.7 Use appropriate safety procedures when conducting when conducting investigations.</w:t>
            </w:r>
          </w:p>
          <w:p w:rsidR="00000000" w:rsidDel="00000000" w:rsidP="00000000" w:rsidRDefault="00000000" w:rsidRPr="00000000">
            <w:pPr>
              <w:contextualSpacing w:val="0"/>
            </w:pPr>
            <w:r w:rsidDel="00000000" w:rsidR="00000000" w:rsidRPr="00000000">
              <w:rPr>
                <w:b w:val="1"/>
                <w:rtl w:val="0"/>
              </w:rPr>
              <w:t xml:space="preserve">*** THESE INDICATORS WILL BE TESTED IN THIS UNIT'S BENCHMARK</w:t>
            </w:r>
            <w:r w:rsidDel="00000000" w:rsidR="00000000" w:rsidRPr="00000000">
              <w:rPr>
                <w:rtl w:val="0"/>
              </w:rPr>
            </w:r>
          </w:p>
        </w:tc>
      </w:tr>
      <w:tr>
        <w:trPr>
          <w:trHeight w:val="300" w:hRule="atLeast"/>
        </w:trPr>
        <w:tc>
          <w:tcPr>
            <w:gridSpan w:val="2"/>
            <w:tcBorders>
              <w:top w:color="000000" w:space="0" w:sz="4" w:val="single"/>
              <w:left w:color="cccccc" w:space="0" w:sz="6" w:val="single"/>
              <w:bottom w:color="000000" w:space="0" w:sz="4" w:val="single"/>
              <w:right w:color="cccccc" w:space="0" w:sz="6"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r>
        <w:trPr>
          <w:trHeight w:val="320" w:hRule="atLeast"/>
        </w:trPr>
        <w:tc>
          <w:tcPr>
            <w:vMerge w:val="restart"/>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jc w:val="center"/>
            </w:pPr>
            <w:r w:rsidDel="00000000" w:rsidR="00000000" w:rsidRPr="00000000">
              <w:rPr>
                <w:b w:val="1"/>
                <w:sz w:val="28"/>
                <w:szCs w:val="28"/>
                <w:rtl w:val="0"/>
              </w:rPr>
              <w:t xml:space="preserve">Content Indicators: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sz w:val="28"/>
                <w:szCs w:val="28"/>
                <w:rtl w:val="0"/>
              </w:rPr>
              <w:t xml:space="preserve">LIFE SCIENCE CONTENT STANDARDS</w:t>
              <w:br w:type="textWrapping"/>
            </w:r>
            <w:r w:rsidDel="00000000" w:rsidR="00000000" w:rsidRPr="00000000">
              <w:rPr>
                <w:rtl w:val="0"/>
              </w:rPr>
              <w:t xml:space="preserve">7-3.4Explain the effects of disease on the major organs and body systems (including infectious diseases such as colds and flu, AIDS, and athlete’s foot and noninfectious diseases such as diabetes, Parkinson’s, and skin cancer).</w:t>
            </w:r>
          </w:p>
          <w:p w:rsidR="00000000" w:rsidDel="00000000" w:rsidP="00000000" w:rsidRDefault="00000000" w:rsidRPr="00000000">
            <w:pPr>
              <w:contextualSpacing w:val="0"/>
            </w:pPr>
            <w:r w:rsidDel="00000000" w:rsidR="00000000" w:rsidRPr="00000000">
              <w:rPr>
                <w:rtl w:val="0"/>
              </w:rPr>
              <w:t xml:space="preserve">7-2.1Summarize the structures and functions of the major components of plant and animal cells (including the cell wall, the cell membrane, the nucleus, chloroplasts, mitochondria, and vacuoles).</w:t>
            </w:r>
          </w:p>
          <w:p w:rsidR="00000000" w:rsidDel="00000000" w:rsidP="00000000" w:rsidRDefault="00000000" w:rsidRPr="00000000">
            <w:pPr>
              <w:contextualSpacing w:val="0"/>
            </w:pPr>
            <w:r w:rsidDel="00000000" w:rsidR="00000000" w:rsidRPr="00000000">
              <w:rPr>
                <w:rtl w:val="0"/>
              </w:rPr>
              <w:t xml:space="preserve">7-2.2 Compare the major components of plant and animal cells.</w:t>
            </w:r>
          </w:p>
          <w:p w:rsidR="00000000" w:rsidDel="00000000" w:rsidP="00000000" w:rsidRDefault="00000000" w:rsidRPr="00000000">
            <w:pPr>
              <w:contextualSpacing w:val="0"/>
            </w:pPr>
            <w:r w:rsidDel="00000000" w:rsidR="00000000" w:rsidRPr="00000000">
              <w:rPr>
                <w:rtl w:val="0"/>
              </w:rPr>
              <w:t xml:space="preserve">7-2.3 Compare the body shapes of bacteria (spiral, coccus, and bacillus) and the body structures that protists (euglena, paramecium, amoeba) use for food gathering and locomotion.</w:t>
            </w:r>
          </w:p>
          <w:p w:rsidR="00000000" w:rsidDel="00000000" w:rsidP="00000000" w:rsidRDefault="00000000" w:rsidRPr="00000000">
            <w:pPr>
              <w:contextualSpacing w:val="0"/>
            </w:pPr>
            <w:r w:rsidDel="00000000" w:rsidR="00000000" w:rsidRPr="00000000">
              <w:rPr>
                <w:rtl w:val="0"/>
              </w:rPr>
              <w:t xml:space="preserve">7-2.4 Explain how cellular processes (including respiration, photosynthesis in plants, mitosis, and waste elimination) are essential to the survival of the organism</w:t>
            </w:r>
          </w:p>
          <w:p w:rsidR="00000000" w:rsidDel="00000000" w:rsidP="00000000" w:rsidRDefault="00000000" w:rsidRPr="00000000">
            <w:pPr>
              <w:contextualSpacing w:val="0"/>
            </w:pPr>
            <w:r w:rsidDel="00000000" w:rsidR="00000000" w:rsidRPr="00000000">
              <w:rPr>
                <w:rtl w:val="0"/>
              </w:rPr>
              <w:t xml:space="preserve">7-2.5 Summarize how genetic information is passed from parent to offspring by using the terms genes, chromosomes, inherited traits, genotype, phenotype, dominant traits, and recessive traits.</w:t>
            </w:r>
          </w:p>
          <w:p w:rsidR="00000000" w:rsidDel="00000000" w:rsidP="00000000" w:rsidRDefault="00000000" w:rsidRPr="00000000">
            <w:pPr>
              <w:contextualSpacing w:val="0"/>
            </w:pPr>
            <w:r w:rsidDel="00000000" w:rsidR="00000000" w:rsidRPr="00000000">
              <w:rPr>
                <w:rtl w:val="0"/>
              </w:rPr>
              <w:t xml:space="preserve">7-2.6 Use Punnett squares to predict inherited monohybrid traits</w:t>
            </w:r>
          </w:p>
          <w:p w:rsidR="00000000" w:rsidDel="00000000" w:rsidP="00000000" w:rsidRDefault="00000000" w:rsidRPr="00000000">
            <w:pPr>
              <w:contextualSpacing w:val="0"/>
            </w:pPr>
            <w:r w:rsidDel="00000000" w:rsidR="00000000" w:rsidRPr="00000000">
              <w:rPr>
                <w:rtl w:val="0"/>
              </w:rPr>
              <w:t xml:space="preserve">7-2.7 Distinguish between inherited traits and those acquired from environmental factors</w:t>
            </w:r>
            <w:r w:rsidDel="00000000" w:rsidR="00000000" w:rsidRPr="00000000">
              <w:rPr>
                <w:rtl w:val="0"/>
              </w:rPr>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ind w:left="720" w:firstLine="0"/>
              <w:contextualSpacing w:val="0"/>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ind w:left="720" w:firstLine="0"/>
              <w:contextualSpacing w:val="0"/>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ind w:left="720" w:firstLine="0"/>
              <w:contextualSpacing w:val="0"/>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tbl>
      <w:tblPr>
        <w:tblStyle w:val="Table4"/>
        <w:bidi w:val="0"/>
        <w:tblW w:w="856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6480"/>
        <w:tblGridChange w:id="0">
          <w:tblGrid>
            <w:gridCol w:w="2088"/>
            <w:gridCol w:w="6480"/>
          </w:tblGrid>
        </w:tblGridChange>
      </w:tblGrid>
      <w:tr>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2"/>
                <w:szCs w:val="32"/>
                <w:rtl w:val="0"/>
              </w:rPr>
              <w:t xml:space="preserve">Dates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2"/>
                <w:szCs w:val="32"/>
                <w:rtl w:val="0"/>
              </w:rPr>
              <w:t xml:space="preserve">Learning Tasks and Activities</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2"/>
                <w:szCs w:val="32"/>
                <w:rtl w:val="0"/>
              </w:rPr>
              <w:t xml:space="preserve">11/2-11/13</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SEPUP 30 It's Catching </w:t>
            </w:r>
            <w:r w:rsidDel="00000000" w:rsidR="00000000" w:rsidRPr="00000000">
              <w:rPr>
                <w:rFonts w:ascii="Arial" w:cs="Arial" w:eastAsia="Arial" w:hAnsi="Arial"/>
                <w:highlight w:val="yellow"/>
                <w:rtl w:val="0"/>
              </w:rPr>
              <w:t xml:space="preserve">CDC Solve the Outbreak</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 Disease </w:t>
            </w:r>
            <w:r w:rsidDel="00000000" w:rsidR="00000000" w:rsidRPr="00000000">
              <w:rPr>
                <w:rFonts w:ascii="Arial" w:cs="Arial" w:eastAsia="Arial" w:hAnsi="Arial"/>
                <w:highlight w:val="yellow"/>
                <w:rtl w:val="0"/>
              </w:rPr>
              <w:t xml:space="preserve">Disease Spread Gizmo</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35 A License to Learn </w:t>
            </w:r>
            <w:r w:rsidDel="00000000" w:rsidR="00000000" w:rsidRPr="00000000">
              <w:rPr>
                <w:rFonts w:ascii="Arial" w:cs="Arial" w:eastAsia="Arial" w:hAnsi="Arial"/>
                <w:highlight w:val="yellow"/>
                <w:rtl w:val="0"/>
              </w:rPr>
              <w:t xml:space="preserve">Interactive Microscope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36 Looking  for Signs of Microlife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38 Microbes, Plants, and You </w:t>
            </w:r>
            <w:r w:rsidDel="00000000" w:rsidR="00000000" w:rsidRPr="00000000">
              <w:rPr>
                <w:rFonts w:ascii="Arial" w:cs="Arial" w:eastAsia="Arial" w:hAnsi="Arial"/>
                <w:highlight w:val="yellow"/>
                <w:rtl w:val="0"/>
              </w:rPr>
              <w:t xml:space="preserve">iCell app</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39 Cells Alive</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rtl w:val="0"/>
              </w:rPr>
              <w:t xml:space="preserve">11/16-12/4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SEPUP 40 A Cell Model </w:t>
            </w:r>
            <w:r w:rsidDel="00000000" w:rsidR="00000000" w:rsidRPr="00000000">
              <w:rPr>
                <w:rFonts w:ascii="Arial" w:cs="Arial" w:eastAsia="Arial" w:hAnsi="Arial"/>
                <w:highlight w:val="yellow"/>
                <w:rtl w:val="0"/>
              </w:rPr>
              <w:t xml:space="preserve">They Might Be Giants song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42 A Closer Look</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 Cell Parts/Processes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43 Microbes Under View </w:t>
            </w:r>
            <w:r w:rsidDel="00000000" w:rsidR="00000000" w:rsidRPr="00000000">
              <w:rPr>
                <w:rFonts w:ascii="Arial" w:cs="Arial" w:eastAsia="Arial" w:hAnsi="Arial"/>
                <w:highlight w:val="yellow"/>
                <w:rtl w:val="0"/>
              </w:rPr>
              <w:t xml:space="preserve">cellsalive.com</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45 The World of Microbes </w:t>
            </w:r>
            <w:r w:rsidDel="00000000" w:rsidR="00000000" w:rsidRPr="00000000">
              <w:rPr>
                <w:rFonts w:ascii="Arial" w:cs="Arial" w:eastAsia="Arial" w:hAnsi="Arial"/>
                <w:highlight w:val="yellow"/>
                <w:rtl w:val="0"/>
              </w:rPr>
              <w:t xml:space="preserve">Brainpop Protist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 Bacteria/Protist/Disease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54 Investigating Human Traits </w:t>
            </w:r>
            <w:r w:rsidDel="00000000" w:rsidR="00000000" w:rsidRPr="00000000">
              <w:rPr>
                <w:rFonts w:ascii="Arial" w:cs="Arial" w:eastAsia="Arial" w:hAnsi="Arial"/>
                <w:highlight w:val="yellow"/>
                <w:rtl w:val="0"/>
              </w:rPr>
              <w:t xml:space="preserve">Brainpop Heredity</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32"/>
                <w:szCs w:val="32"/>
                <w:highlight w:val="white"/>
                <w:rtl w:val="0"/>
              </w:rPr>
              <w:t xml:space="preserve">12/7-12/18</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SEPUP 55 Plants Have Genes Too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58 Creature Feature </w:t>
            </w:r>
            <w:r w:rsidDel="00000000" w:rsidR="00000000" w:rsidRPr="00000000">
              <w:rPr>
                <w:rFonts w:ascii="Arial" w:cs="Arial" w:eastAsia="Arial" w:hAnsi="Arial"/>
                <w:highlight w:val="yellow"/>
                <w:rtl w:val="0"/>
              </w:rPr>
              <w:t xml:space="preserve">Disc Ed Genes Make Rabbits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59 Gene Combo</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60 Mendel, First Geneticist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 Genetics </w:t>
            </w:r>
            <w:r w:rsidDel="00000000" w:rsidR="00000000" w:rsidRPr="00000000">
              <w:rPr>
                <w:rFonts w:ascii="Arial" w:cs="Arial" w:eastAsia="Arial" w:hAnsi="Arial"/>
                <w:highlight w:val="yellow"/>
                <w:rtl w:val="0"/>
              </w:rPr>
              <w:t xml:space="preserve">Inheritance Gizmo</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61 Gene Squares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 Punnett Squares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62 Analyzing Genetic Data </w:t>
            </w:r>
            <w:r w:rsidDel="00000000" w:rsidR="00000000" w:rsidRPr="00000000">
              <w:rPr>
                <w:rFonts w:ascii="Arial" w:cs="Arial" w:eastAsia="Arial" w:hAnsi="Arial"/>
                <w:highlight w:val="yellow"/>
                <w:rtl w:val="0"/>
              </w:rPr>
              <w:t xml:space="preserve">submitt data</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sz w:val="32"/>
                <w:szCs w:val="32"/>
                <w:rtl w:val="0"/>
              </w:rPr>
              <w:t xml:space="preserve">1/5-1/8</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SEPUP 63 Show Me The Genes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65 Breeding Critters </w:t>
            </w:r>
            <w:r w:rsidDel="00000000" w:rsidR="00000000" w:rsidRPr="00000000">
              <w:rPr>
                <w:rFonts w:ascii="Arial" w:cs="Arial" w:eastAsia="Arial" w:hAnsi="Arial"/>
                <w:highlight w:val="yellow"/>
                <w:rtl w:val="0"/>
              </w:rPr>
              <w:t xml:space="preserve">Gene Screen app</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Review/Benchmark</w:t>
            </w: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0"/>
          <w:szCs w:val="20"/>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0"/>
          <w:szCs w:val="20"/>
          <w:vertAlign w:val="baseline"/>
          <w:rtl w:val="0"/>
        </w:rPr>
        <w:tab/>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900ff"/>
          <w:sz w:val="47"/>
          <w:szCs w:val="47"/>
          <w:highlight w:val="white"/>
          <w:rtl w:val="0"/>
        </w:rPr>
        <w:t xml:space="preserve">UNIT 3 – ECOLOGY 1/8-3/1</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47"/>
          <w:szCs w:val="47"/>
          <w:highlight w:val="white"/>
          <w:rtl w:val="0"/>
        </w:rPr>
        <w:t xml:space="preserve">Benchmark Window 2/23-3/8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8640.0" w:type="dxa"/>
        <w:jc w:val="left"/>
        <w:tblInd w:w="-45.0" w:type="dxa"/>
        <w:tblBorders>
          <w:top w:color="cccccc" w:space="0" w:sz="6" w:val="single"/>
          <w:left w:color="cccccc" w:space="0" w:sz="6" w:val="single"/>
          <w:bottom w:color="cccccc" w:space="0" w:sz="6" w:val="single"/>
          <w:right w:color="cccccc" w:space="0" w:sz="6" w:val="single"/>
          <w:insideH w:color="000000" w:space="0" w:sz="0" w:val="nil"/>
          <w:insideV w:color="000000" w:space="0" w:sz="0" w:val="nil"/>
        </w:tblBorders>
        <w:tblLayout w:type="fixed"/>
        <w:tblLook w:val="0000"/>
      </w:tblPr>
      <w:tblGrid>
        <w:gridCol w:w="1760"/>
        <w:gridCol w:w="6880"/>
        <w:tblGridChange w:id="0">
          <w:tblGrid>
            <w:gridCol w:w="1760"/>
            <w:gridCol w:w="6880"/>
          </w:tblGrid>
        </w:tblGridChange>
      </w:tblGrid>
      <w:tr>
        <w:trPr>
          <w:trHeight w:val="516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jc w:val="center"/>
            </w:pPr>
            <w:r w:rsidDel="00000000" w:rsidR="00000000" w:rsidRPr="00000000">
              <w:rPr>
                <w:b w:val="1"/>
                <w:sz w:val="28"/>
                <w:szCs w:val="28"/>
                <w:rtl w:val="0"/>
              </w:rPr>
              <w:t xml:space="preserve">Inquiry Indicators: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t xml:space="preserve">7-1.1 Use appropriate tools and instruments (including a microscope) safely and accurately when conducting a controlled scientific investigation.</w:t>
              <w:br w:type="textWrapping"/>
              <w:t xml:space="preserve">***7-1.2 Generate questions that can be answered through scientific investigation.</w:t>
              <w:br w:type="textWrapping"/>
              <w:t xml:space="preserve">7-1.3 Explain the reasons for testing one independent variable at a time in a controlled scientific investigation.</w:t>
              <w:br w:type="textWrapping"/>
              <w:t xml:space="preserve">7-1.4 Explain the importance that repeated trials and a well-chosen sample size have with regard to the validity of a controlled investigation.</w:t>
              <w:br w:type="textWrapping"/>
              <w:t xml:space="preserve">7-1.5 Explain the relationships between independent and dependent variables in a controlled scientific investigation through the use of appropriate graphs, tables, and charts.</w:t>
              <w:br w:type="textWrapping"/>
              <w:t xml:space="preserve">***7-1.6 Critique a conclusion drawn from a scientific investigation.</w:t>
              <w:br w:type="textWrapping"/>
              <w:t xml:space="preserve">7-1.7 Use appropriate safety procedures when conducting when conducting investigations.</w:t>
            </w:r>
          </w:p>
          <w:p w:rsidR="00000000" w:rsidDel="00000000" w:rsidP="00000000" w:rsidRDefault="00000000" w:rsidRPr="00000000">
            <w:pPr>
              <w:contextualSpacing w:val="0"/>
            </w:pPr>
            <w:r w:rsidDel="00000000" w:rsidR="00000000" w:rsidRPr="00000000">
              <w:rPr>
                <w:b w:val="1"/>
                <w:rtl w:val="0"/>
              </w:rPr>
              <w:t xml:space="preserve">*** THESE INDICATORS WILL BE TESTED IN THIS UNIT'S BENCHMARK</w:t>
            </w:r>
            <w:r w:rsidDel="00000000" w:rsidR="00000000" w:rsidRPr="00000000">
              <w:rPr>
                <w:rtl w:val="0"/>
              </w:rPr>
            </w:r>
          </w:p>
        </w:tc>
      </w:tr>
      <w:tr>
        <w:trPr>
          <w:trHeight w:val="300" w:hRule="atLeast"/>
        </w:trPr>
        <w:tc>
          <w:tcPr>
            <w:gridSpan w:val="2"/>
            <w:tcBorders>
              <w:top w:color="000000" w:space="0" w:sz="4" w:val="single"/>
              <w:left w:color="cccccc" w:space="0" w:sz="6" w:val="single"/>
              <w:bottom w:color="000000" w:space="0" w:sz="4" w:val="single"/>
              <w:right w:color="cccccc" w:space="0" w:sz="6"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r>
        <w:trPr>
          <w:trHeight w:val="320" w:hRule="atLeast"/>
        </w:trPr>
        <w:tc>
          <w:tcPr>
            <w:vMerge w:val="restart"/>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jc w:val="center"/>
            </w:pPr>
            <w:r w:rsidDel="00000000" w:rsidR="00000000" w:rsidRPr="00000000">
              <w:rPr>
                <w:b w:val="1"/>
                <w:sz w:val="28"/>
                <w:szCs w:val="28"/>
                <w:rtl w:val="0"/>
              </w:rPr>
              <w:t xml:space="preserve">Content Indicators: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sz w:val="28"/>
                <w:szCs w:val="28"/>
                <w:rtl w:val="0"/>
              </w:rPr>
              <w:t xml:space="preserve">LIFE SCIENCE CONTENT STANDARDS</w:t>
              <w:br w:type="textWrapping"/>
            </w:r>
            <w:r w:rsidDel="00000000" w:rsidR="00000000" w:rsidRPr="00000000">
              <w:rPr>
                <w:rtl w:val="0"/>
              </w:rPr>
              <w:t xml:space="preserve">7-4.1 Summarize the characteristics of the levels of organization within ecosystems (including populations, communities, habitats, niches, and biomes).</w:t>
            </w:r>
          </w:p>
          <w:p w:rsidR="00000000" w:rsidDel="00000000" w:rsidP="00000000" w:rsidRDefault="00000000" w:rsidRPr="00000000">
            <w:pPr>
              <w:contextualSpacing w:val="0"/>
            </w:pPr>
            <w:r w:rsidDel="00000000" w:rsidR="00000000" w:rsidRPr="00000000">
              <w:rPr>
                <w:rtl w:val="0"/>
              </w:rPr>
              <w:t xml:space="preserve">7-4.2 Illustrate energy flow in food chains, food webs, and energy pyramids.</w:t>
            </w:r>
          </w:p>
          <w:p w:rsidR="00000000" w:rsidDel="00000000" w:rsidP="00000000" w:rsidRDefault="00000000" w:rsidRPr="00000000">
            <w:pPr>
              <w:contextualSpacing w:val="0"/>
            </w:pPr>
            <w:r w:rsidDel="00000000" w:rsidR="00000000" w:rsidRPr="00000000">
              <w:rPr>
                <w:rtl w:val="0"/>
              </w:rPr>
              <w:t xml:space="preserve">7-4.3 Explain the interaction among changes in the environment due to natural hazards (including landslides, wildfires, and floods), changes in populations, and limiting factors (including climate and the availability of food and water, space, and shelter</w:t>
            </w:r>
          </w:p>
          <w:p w:rsidR="00000000" w:rsidDel="00000000" w:rsidP="00000000" w:rsidRDefault="00000000" w:rsidRPr="00000000">
            <w:pPr>
              <w:contextualSpacing w:val="0"/>
            </w:pPr>
            <w:r w:rsidDel="00000000" w:rsidR="00000000" w:rsidRPr="00000000">
              <w:rPr>
                <w:rtl w:val="0"/>
              </w:rPr>
              <w:t xml:space="preserve">7-4.4 Explain the effects of soil quality on the characteristics of an ecosystem</w:t>
            </w:r>
          </w:p>
          <w:p w:rsidR="00000000" w:rsidDel="00000000" w:rsidP="00000000" w:rsidRDefault="00000000" w:rsidRPr="00000000">
            <w:pPr>
              <w:contextualSpacing w:val="0"/>
            </w:pPr>
            <w:r w:rsidDel="00000000" w:rsidR="00000000" w:rsidRPr="00000000">
              <w:rPr>
                <w:rtl w:val="0"/>
              </w:rPr>
              <w:t xml:space="preserve">7-4.5 Summarize how the location and movement of water on Earth’s surface through groundwater zones and surface-water drainage basins, called watersheds, are important to ecosystems and to human activities</w:t>
            </w:r>
          </w:p>
          <w:p w:rsidR="00000000" w:rsidDel="00000000" w:rsidP="00000000" w:rsidRDefault="00000000" w:rsidRPr="00000000">
            <w:pPr>
              <w:contextualSpacing w:val="0"/>
            </w:pPr>
            <w:r w:rsidDel="00000000" w:rsidR="00000000" w:rsidRPr="00000000">
              <w:rPr>
                <w:rtl w:val="0"/>
              </w:rPr>
              <w:t xml:space="preserve">7-4.6 Classify resources as renewable or nonrenewable and explain the implications of their depletion and the importance of conservation</w:t>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ind w:left="720" w:firstLine="0"/>
              <w:contextualSpacing w:val="0"/>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ind w:left="720" w:firstLine="0"/>
              <w:contextualSpacing w:val="0"/>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ind w:left="720" w:firstLine="0"/>
              <w:contextualSpacing w:val="0"/>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tbl>
      <w:tblPr>
        <w:tblStyle w:val="Table6"/>
        <w:bidi w:val="0"/>
        <w:tblW w:w="856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6480"/>
        <w:tblGridChange w:id="0">
          <w:tblGrid>
            <w:gridCol w:w="2088"/>
            <w:gridCol w:w="6480"/>
          </w:tblGrid>
        </w:tblGridChange>
      </w:tblGrid>
      <w:tr>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2"/>
                <w:szCs w:val="32"/>
                <w:rtl w:val="0"/>
              </w:rPr>
              <w:t xml:space="preserve">Dates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2"/>
                <w:szCs w:val="32"/>
                <w:rtl w:val="0"/>
              </w:rPr>
              <w:t xml:space="preserve">Learning Tasks and Activities</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2"/>
                <w:szCs w:val="32"/>
                <w:rtl w:val="0"/>
              </w:rPr>
              <w:t xml:space="preserve">1/19-2/12</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SEPUP 72 Miracle Fish</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74 Observing Organisms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83 A Suitable Habitat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77 Ups and Downs </w:t>
            </w:r>
            <w:r w:rsidDel="00000000" w:rsidR="00000000" w:rsidRPr="00000000">
              <w:rPr>
                <w:rFonts w:ascii="Arial" w:cs="Arial" w:eastAsia="Arial" w:hAnsi="Arial"/>
                <w:highlight w:val="yellow"/>
                <w:rtl w:val="0"/>
              </w:rPr>
              <w:t xml:space="preserve">Zach the Zebra Mussel video</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Choice/Levels of Organization </w:t>
            </w:r>
            <w:r w:rsidDel="00000000" w:rsidR="00000000" w:rsidRPr="00000000">
              <w:rPr>
                <w:rFonts w:ascii="Arial" w:cs="Arial" w:eastAsia="Arial" w:hAnsi="Arial"/>
                <w:highlight w:val="yellow"/>
                <w:rtl w:val="0"/>
              </w:rPr>
              <w:t xml:space="preserve">BrainpopEcosyste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78 Coughing Up Clues </w:t>
            </w:r>
            <w:r w:rsidDel="00000000" w:rsidR="00000000" w:rsidRPr="00000000">
              <w:rPr>
                <w:rFonts w:ascii="Arial" w:cs="Arial" w:eastAsia="Arial" w:hAnsi="Arial"/>
                <w:highlight w:val="yellow"/>
                <w:rtl w:val="0"/>
              </w:rPr>
              <w:t xml:space="preserve">Virtual Dissection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70 Eating for Energy </w:t>
            </w:r>
            <w:r w:rsidDel="00000000" w:rsidR="00000000" w:rsidRPr="00000000">
              <w:rPr>
                <w:rFonts w:ascii="Arial" w:cs="Arial" w:eastAsia="Arial" w:hAnsi="Arial"/>
                <w:highlight w:val="yellow"/>
                <w:rtl w:val="0"/>
              </w:rPr>
              <w:t xml:space="preserve">food web virtual lab</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 Energy Flow in Ecosystems</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rtl w:val="0"/>
              </w:rPr>
              <w:t xml:space="preserve">2/16-3/1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SEPUP 81 A Producer's Source of Energy </w:t>
            </w:r>
            <w:r w:rsidDel="00000000" w:rsidR="00000000" w:rsidRPr="00000000">
              <w:rPr>
                <w:rFonts w:ascii="Arial" w:cs="Arial" w:eastAsia="Arial" w:hAnsi="Arial"/>
                <w:highlight w:val="yellow"/>
                <w:rtl w:val="0"/>
              </w:rPr>
              <w:t xml:space="preserve">gizmo photosys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82 The Cells of Producers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84 Clam Catch</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SEPUP 85 Is There Room for One More?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Choice/Limiting Factors/Natural Disasters</w:t>
            </w:r>
          </w:p>
          <w:p w:rsidR="00000000" w:rsidDel="00000000" w:rsidP="00000000" w:rsidRDefault="00000000" w:rsidRPr="00000000">
            <w:pPr>
              <w:contextualSpacing w:val="0"/>
            </w:pPr>
            <w:r w:rsidDel="00000000" w:rsidR="00000000" w:rsidRPr="00000000">
              <w:rPr>
                <w:rFonts w:ascii="Arial" w:cs="Arial" w:eastAsia="Arial" w:hAnsi="Arial"/>
                <w:highlight w:val="yellow"/>
                <w:rtl w:val="0"/>
              </w:rPr>
              <w:t xml:space="preserve">Gizmo rabbit population          Videos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Choice/Effects of Soil Quality on Ecosystems</w:t>
            </w:r>
          </w:p>
          <w:p w:rsidR="00000000" w:rsidDel="00000000" w:rsidP="00000000" w:rsidRDefault="00000000" w:rsidRPr="00000000">
            <w:pPr>
              <w:contextualSpacing w:val="0"/>
            </w:pPr>
            <w:r w:rsidDel="00000000" w:rsidR="00000000" w:rsidRPr="00000000">
              <w:rPr>
                <w:rFonts w:ascii="Arial" w:cs="Arial" w:eastAsia="Arial" w:hAnsi="Arial"/>
                <w:highlight w:val="yellow"/>
                <w:rtl w:val="0"/>
              </w:rPr>
              <w:t xml:space="preserve">Gizmo porosity     Discovery Ed Digging Up Dirt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Choice/Location and Movement of Water on Earth's Surface </w:t>
            </w:r>
            <w:r w:rsidDel="00000000" w:rsidR="00000000" w:rsidRPr="00000000">
              <w:rPr>
                <w:rFonts w:ascii="Arial" w:cs="Arial" w:eastAsia="Arial" w:hAnsi="Arial"/>
                <w:highlight w:val="yellow"/>
                <w:rtl w:val="0"/>
              </w:rPr>
              <w:t xml:space="preserve">Ground Water Song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Soil and Water Essay </w:t>
            </w:r>
            <w:r w:rsidDel="00000000" w:rsidR="00000000" w:rsidRPr="00000000">
              <w:rPr>
                <w:rFonts w:ascii="Arial" w:cs="Arial" w:eastAsia="Arial" w:hAnsi="Arial"/>
                <w:highlight w:val="yellow"/>
                <w:rtl w:val="0"/>
              </w:rPr>
              <w:t xml:space="preserve">District Website resources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Choice/Conserving Resources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Review/Benchmark</w:t>
            </w: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900ff"/>
          <w:sz w:val="47"/>
          <w:szCs w:val="47"/>
          <w:highlight w:val="white"/>
          <w:rtl w:val="0"/>
        </w:rPr>
        <w:t xml:space="preserve">UNIT 4 – PROPERTIES OF MATTER 3/2-4/21</w:t>
      </w:r>
    </w:p>
    <w:p w:rsidR="00000000" w:rsidDel="00000000" w:rsidP="00000000" w:rsidRDefault="00000000" w:rsidRPr="00000000">
      <w:pPr>
        <w:contextualSpacing w:val="0"/>
      </w:pPr>
      <w:r w:rsidDel="00000000" w:rsidR="00000000" w:rsidRPr="00000000">
        <w:rPr>
          <w:b w:val="1"/>
          <w:color w:val="ff0000"/>
          <w:sz w:val="47"/>
          <w:szCs w:val="47"/>
          <w:highlight w:val="white"/>
          <w:rtl w:val="0"/>
        </w:rPr>
        <w:t xml:space="preserve">Benchmark Window 4/13-4/27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8640.0" w:type="dxa"/>
        <w:jc w:val="left"/>
        <w:tblInd w:w="-45.0" w:type="dxa"/>
        <w:tblBorders>
          <w:top w:color="cccccc" w:space="0" w:sz="6" w:val="single"/>
          <w:left w:color="cccccc" w:space="0" w:sz="6" w:val="single"/>
          <w:bottom w:color="cccccc" w:space="0" w:sz="6" w:val="single"/>
          <w:right w:color="cccccc" w:space="0" w:sz="6" w:val="single"/>
          <w:insideH w:color="000000" w:space="0" w:sz="0" w:val="nil"/>
          <w:insideV w:color="000000" w:space="0" w:sz="0" w:val="nil"/>
        </w:tblBorders>
        <w:tblLayout w:type="fixed"/>
        <w:tblLook w:val="0000"/>
      </w:tblPr>
      <w:tblGrid>
        <w:gridCol w:w="1760"/>
        <w:gridCol w:w="6880"/>
        <w:tblGridChange w:id="0">
          <w:tblGrid>
            <w:gridCol w:w="1760"/>
            <w:gridCol w:w="6880"/>
          </w:tblGrid>
        </w:tblGridChange>
      </w:tblGrid>
      <w:tr>
        <w:trPr>
          <w:trHeight w:val="5160" w:hRule="atLeast"/>
        </w:trPr>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jc w:val="center"/>
            </w:pPr>
            <w:r w:rsidDel="00000000" w:rsidR="00000000" w:rsidRPr="00000000">
              <w:rPr>
                <w:b w:val="1"/>
                <w:sz w:val="28"/>
                <w:szCs w:val="28"/>
                <w:rtl w:val="0"/>
              </w:rPr>
              <w:t xml:space="preserve">Inquiry Indicators: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t xml:space="preserve">7-1.1 Use appropriate tools and instruments (including a microscope) safely and accurately when conducting a controlled scientific investigation.</w:t>
              <w:br w:type="textWrapping"/>
              <w:t xml:space="preserve">7-1.2 Generate questions that can be answered through scientific investigation.</w:t>
              <w:br w:type="textWrapping"/>
              <w:t xml:space="preserve">7-1.3 Explain the reasons for testing one independent variable at a time in a controlled scientific investigation.</w:t>
              <w:br w:type="textWrapping"/>
              <w:t xml:space="preserve">7-1.4 Explain the importance that repeated trials and a well-chosen sample size have with regard to the validity of a controlled investigation.</w:t>
              <w:br w:type="textWrapping"/>
              <w:t xml:space="preserve">7-1.5 Explain the relationships between independent and dependent variables in a controlled scientific investigation through the use of appropriate graphs, tables, and charts.</w:t>
              <w:br w:type="textWrapping"/>
              <w:t xml:space="preserve">7-1.6 Critique a conclusion drawn from a scientific investigation.</w:t>
              <w:br w:type="textWrapping"/>
              <w:t xml:space="preserve">***7-1.7 Use appropriate safety procedures when conducting when conducting investigations.</w:t>
            </w:r>
          </w:p>
          <w:p w:rsidR="00000000" w:rsidDel="00000000" w:rsidP="00000000" w:rsidRDefault="00000000" w:rsidRPr="00000000">
            <w:pPr>
              <w:contextualSpacing w:val="0"/>
            </w:pPr>
            <w:r w:rsidDel="00000000" w:rsidR="00000000" w:rsidRPr="00000000">
              <w:rPr>
                <w:b w:val="1"/>
                <w:rtl w:val="0"/>
              </w:rPr>
              <w:t xml:space="preserve">*** THESE INDICATORS WILL BE TESTED IN THIS UNIT'S BENCHMARK</w:t>
            </w:r>
            <w:r w:rsidDel="00000000" w:rsidR="00000000" w:rsidRPr="00000000">
              <w:rPr>
                <w:rtl w:val="0"/>
              </w:rPr>
            </w:r>
          </w:p>
        </w:tc>
      </w:tr>
      <w:tr>
        <w:trPr>
          <w:trHeight w:val="300" w:hRule="atLeast"/>
        </w:trPr>
        <w:tc>
          <w:tcPr>
            <w:gridSpan w:val="2"/>
            <w:tcBorders>
              <w:top w:color="000000" w:space="0" w:sz="4" w:val="single"/>
              <w:left w:color="cccccc" w:space="0" w:sz="6" w:val="single"/>
              <w:bottom w:color="000000" w:space="0" w:sz="4" w:val="single"/>
              <w:right w:color="cccccc" w:space="0" w:sz="6"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r>
        <w:trPr>
          <w:trHeight w:val="320" w:hRule="atLeast"/>
        </w:trPr>
        <w:tc>
          <w:tcPr>
            <w:vMerge w:val="restart"/>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jc w:val="center"/>
            </w:pPr>
            <w:r w:rsidDel="00000000" w:rsidR="00000000" w:rsidRPr="00000000">
              <w:rPr>
                <w:b w:val="1"/>
                <w:sz w:val="28"/>
                <w:szCs w:val="28"/>
                <w:rtl w:val="0"/>
              </w:rPr>
              <w:t xml:space="preserve">Content Indicators: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sz w:val="28"/>
                <w:szCs w:val="28"/>
                <w:rtl w:val="0"/>
              </w:rPr>
              <w:t xml:space="preserve">PHYSICAL SCIENCE CONTENT STANDARDS</w:t>
              <w:br w:type="textWrapping"/>
              <w:t xml:space="preserve">7-5.1 Recognize that matter is composed of extremely small particles called atoms</w:t>
            </w:r>
          </w:p>
          <w:p w:rsidR="00000000" w:rsidDel="00000000" w:rsidP="00000000" w:rsidRDefault="00000000" w:rsidRPr="00000000">
            <w:pPr>
              <w:contextualSpacing w:val="0"/>
            </w:pPr>
            <w:r w:rsidDel="00000000" w:rsidR="00000000" w:rsidRPr="00000000">
              <w:rPr>
                <w:sz w:val="28"/>
                <w:szCs w:val="28"/>
                <w:rtl w:val="0"/>
              </w:rPr>
              <w:t xml:space="preserve">7-5.2 Classify matter as element, compound, or mixture on the basis of its composition</w:t>
            </w:r>
          </w:p>
          <w:p w:rsidR="00000000" w:rsidDel="00000000" w:rsidP="00000000" w:rsidRDefault="00000000" w:rsidRPr="00000000">
            <w:pPr>
              <w:contextualSpacing w:val="0"/>
            </w:pPr>
            <w:r w:rsidDel="00000000" w:rsidR="00000000" w:rsidRPr="00000000">
              <w:rPr>
                <w:sz w:val="28"/>
                <w:szCs w:val="28"/>
                <w:rtl w:val="0"/>
              </w:rPr>
              <w:t xml:space="preserve">7-5.3. Compare the physical properties of metals and nonmetals</w:t>
            </w:r>
          </w:p>
          <w:p w:rsidR="00000000" w:rsidDel="00000000" w:rsidP="00000000" w:rsidRDefault="00000000" w:rsidRPr="00000000">
            <w:pPr>
              <w:contextualSpacing w:val="0"/>
            </w:pPr>
            <w:r w:rsidDel="00000000" w:rsidR="00000000" w:rsidRPr="00000000">
              <w:rPr>
                <w:sz w:val="28"/>
                <w:szCs w:val="28"/>
                <w:rtl w:val="0"/>
              </w:rPr>
              <w:t xml:space="preserve">7-5.4 Use the periodic table to identify the basic organization of elements and groups of elements (including metals, nonmetals, and families</w:t>
            </w:r>
          </w:p>
          <w:p w:rsidR="00000000" w:rsidDel="00000000" w:rsidP="00000000" w:rsidRDefault="00000000" w:rsidRPr="00000000">
            <w:pPr>
              <w:contextualSpacing w:val="0"/>
            </w:pPr>
            <w:r w:rsidDel="00000000" w:rsidR="00000000" w:rsidRPr="00000000">
              <w:rPr>
                <w:sz w:val="28"/>
                <w:szCs w:val="28"/>
                <w:rtl w:val="0"/>
              </w:rPr>
              <w:t xml:space="preserve">7-5.5 Translate chemical symbols and the chemical formulas of common substances to show the component parts of the substances (including NaCl [salt], H2O [water], C6H12O6 [simple sugar], O2 [oxygen gas], CO2 [carbon dioxide], and N2 [nitrogen gas]).</w:t>
            </w:r>
          </w:p>
          <w:p w:rsidR="00000000" w:rsidDel="00000000" w:rsidP="00000000" w:rsidRDefault="00000000" w:rsidRPr="00000000">
            <w:pPr>
              <w:contextualSpacing w:val="0"/>
            </w:pPr>
            <w:r w:rsidDel="00000000" w:rsidR="00000000" w:rsidRPr="00000000">
              <w:rPr>
                <w:sz w:val="28"/>
                <w:szCs w:val="28"/>
                <w:rtl w:val="0"/>
              </w:rPr>
              <w:t xml:space="preserve">7-5.6 Distinguish between acids and bases and use indicators (including litmus paper, pH paper, and phenolphthalein) to determine their relative pH.</w:t>
            </w:r>
          </w:p>
          <w:p w:rsidR="00000000" w:rsidDel="00000000" w:rsidP="00000000" w:rsidRDefault="00000000" w:rsidRPr="00000000">
            <w:pPr>
              <w:contextualSpacing w:val="0"/>
            </w:pPr>
            <w:r w:rsidDel="00000000" w:rsidR="00000000" w:rsidRPr="00000000">
              <w:rPr>
                <w:sz w:val="28"/>
                <w:szCs w:val="28"/>
                <w:rtl w:val="0"/>
              </w:rPr>
              <w:t xml:space="preserve">7-5.7 Identify the reactants and products in chemical equations.</w:t>
            </w:r>
          </w:p>
          <w:p w:rsidR="00000000" w:rsidDel="00000000" w:rsidP="00000000" w:rsidRDefault="00000000" w:rsidRPr="00000000">
            <w:pPr>
              <w:contextualSpacing w:val="0"/>
            </w:pPr>
            <w:r w:rsidDel="00000000" w:rsidR="00000000" w:rsidRPr="00000000">
              <w:rPr>
                <w:sz w:val="28"/>
                <w:szCs w:val="28"/>
                <w:rtl w:val="0"/>
              </w:rPr>
              <w:t xml:space="preserve">7-5.8 Explain how a balanced chemical equation supports the law of conservation of matter.</w:t>
            </w:r>
          </w:p>
          <w:p w:rsidR="00000000" w:rsidDel="00000000" w:rsidP="00000000" w:rsidRDefault="00000000" w:rsidRPr="00000000">
            <w:pPr>
              <w:contextualSpacing w:val="0"/>
            </w:pPr>
            <w:r w:rsidDel="00000000" w:rsidR="00000000" w:rsidRPr="00000000">
              <w:rPr>
                <w:sz w:val="28"/>
                <w:szCs w:val="28"/>
                <w:rtl w:val="0"/>
              </w:rPr>
              <w:t xml:space="preserve">7-5.9 Compare physical properties of matter (including melting or boiling point, density, and color) to the chemical property of reactivity with a certain substance (including the ability to burn or to rust).</w:t>
            </w:r>
          </w:p>
          <w:p w:rsidR="00000000" w:rsidDel="00000000" w:rsidP="00000000" w:rsidRDefault="00000000" w:rsidRPr="00000000">
            <w:pPr>
              <w:contextualSpacing w:val="0"/>
            </w:pPr>
            <w:r w:rsidDel="00000000" w:rsidR="00000000" w:rsidRPr="00000000">
              <w:rPr>
                <w:sz w:val="28"/>
                <w:szCs w:val="28"/>
                <w:rtl w:val="0"/>
              </w:rPr>
              <w:t xml:space="preserve">7-5.10 Compare physical changes (including changes in size, shape, and state) to chemical changes that are the result of chemical reactions (including changes in color or temperature and formation of a precipitate or gas).</w:t>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ind w:left="720" w:firstLine="0"/>
              <w:contextualSpacing w:val="0"/>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ind w:left="720" w:firstLine="0"/>
              <w:contextualSpacing w:val="0"/>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r>
        <w:trPr>
          <w:trHeight w:val="500" w:hRule="atLeast"/>
        </w:trPr>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ind w:left="720" w:firstLine="0"/>
              <w:contextualSpacing w:val="0"/>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30.0" w:type="dxa"/>
              <w:left w:w="45.0" w:type="dxa"/>
              <w:bottom w:w="30.0" w:type="dxa"/>
              <w:right w:w="4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tbl>
      <w:tblPr>
        <w:tblStyle w:val="Table8"/>
        <w:bidi w:val="0"/>
        <w:tblW w:w="856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6480"/>
        <w:tblGridChange w:id="0">
          <w:tblGrid>
            <w:gridCol w:w="2088"/>
            <w:gridCol w:w="6480"/>
          </w:tblGrid>
        </w:tblGridChange>
      </w:tblGrid>
      <w:tr>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2"/>
                <w:szCs w:val="32"/>
                <w:rtl w:val="0"/>
              </w:rPr>
              <w:t xml:space="preserve">Dates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2"/>
                <w:szCs w:val="32"/>
                <w:rtl w:val="0"/>
              </w:rPr>
              <w:t xml:space="preserve">Learning Tasks and Activities</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2"/>
                <w:szCs w:val="32"/>
                <w:rtl w:val="0"/>
              </w:rPr>
              <w:t xml:space="preserve">3/3-3/20</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POM 1 Our Ideas About Matter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POM 2.1, 2.2 Determining Density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POM 3 Density Predictions </w:t>
            </w:r>
            <w:r w:rsidDel="00000000" w:rsidR="00000000" w:rsidRPr="00000000">
              <w:rPr>
                <w:rFonts w:ascii="Arial" w:cs="Arial" w:eastAsia="Arial" w:hAnsi="Arial"/>
                <w:highlight w:val="yellow"/>
                <w:rtl w:val="0"/>
              </w:rPr>
              <w:t xml:space="preserve">Gizmo Density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POM 6 Applying Heat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POM 7 Just a Phase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Choice/Physical &amp; Chemical Properties/Changes</w:t>
            </w:r>
          </w:p>
          <w:p w:rsidR="00000000" w:rsidDel="00000000" w:rsidP="00000000" w:rsidRDefault="00000000" w:rsidRPr="00000000">
            <w:pPr>
              <w:contextualSpacing w:val="0"/>
            </w:pPr>
            <w:r w:rsidDel="00000000" w:rsidR="00000000" w:rsidRPr="00000000">
              <w:rPr>
                <w:rFonts w:ascii="Arial" w:cs="Arial" w:eastAsia="Arial" w:hAnsi="Arial"/>
                <w:highlight w:val="yellow"/>
                <w:rtl w:val="0"/>
              </w:rPr>
              <w:t xml:space="preserve">Physical and Chemical Changes Virtual Lab</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rtl w:val="0"/>
              </w:rPr>
              <w:t xml:space="preserve">3/23-4/10</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POM 8 Changing Matter and Mass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POM 25 Mass and Chemical Reactions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Choice/Conservation of Matter, Chemical Symbols, Formulas, and Equations</w:t>
            </w:r>
            <w:r w:rsidDel="00000000" w:rsidR="00000000" w:rsidRPr="00000000">
              <w:rPr>
                <w:rFonts w:ascii="Arial" w:cs="Arial" w:eastAsia="Arial" w:hAnsi="Arial"/>
                <w:highlight w:val="yellow"/>
                <w:u w:val="single"/>
                <w:rtl w:val="0"/>
              </w:rPr>
              <w:t xml:space="preserve"> Gizmo Chem. Equat</w:t>
            </w:r>
            <w:r w:rsidDel="00000000" w:rsidR="00000000" w:rsidRPr="00000000">
              <w:rPr>
                <w:rFonts w:ascii="Arial" w:cs="Arial" w:eastAsia="Arial" w:hAnsi="Arial"/>
                <w:u w:val="single"/>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Choice/Classifying Matter and Atoms </w:t>
            </w:r>
            <w:r w:rsidDel="00000000" w:rsidR="00000000" w:rsidRPr="00000000">
              <w:rPr>
                <w:rFonts w:ascii="Arial" w:cs="Arial" w:eastAsia="Arial" w:hAnsi="Arial"/>
                <w:highlight w:val="yellow"/>
                <w:rtl w:val="0"/>
              </w:rPr>
              <w:t xml:space="preserve">Atoms Fam.</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POM 20 Breaking Down a Compound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POM 21 Examining and Grouping Elements</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32"/>
                <w:szCs w:val="32"/>
                <w:highlight w:val="white"/>
                <w:rtl w:val="0"/>
              </w:rPr>
              <w:t xml:space="preserve">4/11-4/20</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Choice/Periodic Table </w:t>
            </w:r>
            <w:r w:rsidDel="00000000" w:rsidR="00000000" w:rsidRPr="00000000">
              <w:rPr>
                <w:rFonts w:ascii="Arial" w:cs="Arial" w:eastAsia="Arial" w:hAnsi="Arial"/>
                <w:highlight w:val="yellow"/>
                <w:rtl w:val="0"/>
              </w:rPr>
              <w:t xml:space="preserve">app Periodic Table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 Metals vs. Nonmetals </w:t>
            </w:r>
            <w:r w:rsidDel="00000000" w:rsidR="00000000" w:rsidRPr="00000000">
              <w:rPr>
                <w:rFonts w:ascii="Arial" w:cs="Arial" w:eastAsia="Arial" w:hAnsi="Arial"/>
                <w:highlight w:val="yellow"/>
                <w:rtl w:val="0"/>
              </w:rPr>
              <w:t xml:space="preserve">app goREACT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Choice/Acids and Bases </w:t>
            </w:r>
            <w:r w:rsidDel="00000000" w:rsidR="00000000" w:rsidRPr="00000000">
              <w:rPr>
                <w:rFonts w:ascii="Arial" w:cs="Arial" w:eastAsia="Arial" w:hAnsi="Arial"/>
                <w:highlight w:val="yellow"/>
                <w:rtl w:val="0"/>
              </w:rPr>
              <w:t xml:space="preserve">Discovery Ed, Gizmo pH</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highlight w:val="yellow"/>
                <w:rtl w:val="0"/>
              </w:rPr>
              <w:t xml:space="preserve">Analysis, Acids and Bases Virtual Lab</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Review/Benchmark</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sz w:val="32"/>
                <w:szCs w:val="32"/>
                <w:rtl w:val="0"/>
              </w:rPr>
              <w:t xml:space="preserve">4/21-5/4</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PASS Test Prep </w:t>
            </w: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Times New Roman" w:cs="Times New Roman" w:eastAsia="Times New Roman" w:hAnsi="Times New Roman"/>
        <w:b w:val="0"/>
        <w:color w:val="6b6b6b"/>
        <w:sz w:val="24"/>
        <w:szCs w:val="24"/>
        <w:highlight w:val="yellow"/>
        <w:vertAlign w:val="baseline"/>
        <w:rtl w:val="0"/>
      </w:rPr>
      <w:t xml:space="preserve"> Digital Activity</w:t>
    </w:r>
    <w:r w:rsidDel="00000000" w:rsidR="00000000" w:rsidRPr="00000000">
      <w:rPr>
        <w:rFonts w:ascii="Times New Roman" w:cs="Times New Roman" w:eastAsia="Times New Roman" w:hAnsi="Times New Roman"/>
        <w:b w:val="0"/>
        <w:color w:val="000000"/>
        <w:sz w:val="24"/>
        <w:szCs w:val="24"/>
        <w:vertAlign w:val="baseline"/>
        <w:rtl w:val="0"/>
      </w:rPr>
      <w:tab/>
      <w:tab/>
    </w:r>
    <w:fldSimple w:instr="PAGE" w:fldLock="0" w:dirty="0">
      <w:r w:rsidDel="00000000" w:rsidR="00000000" w:rsidRPr="00000000">
        <w:rPr>
          <w:rFonts w:ascii="Times New Roman" w:cs="Times New Roman" w:eastAsia="Times New Roman" w:hAnsi="Times New Roman"/>
          <w:b w:val="0"/>
          <w:color w:val="000000"/>
          <w:sz w:val="24"/>
          <w:szCs w:val="24"/>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7740"/>
      </w:tabs>
      <w:spacing w:after="0" w:before="72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br w:type="textWrapping"/>
    </w:r>
    <w:r w:rsidDel="00000000" w:rsidR="00000000" w:rsidRPr="00000000">
      <w:rPr>
        <w:rtl w:val="0"/>
      </w:rPr>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38100</wp:posOffset>
              </wp:positionH>
              <wp:positionV relativeFrom="paragraph">
                <wp:posOffset>-787399</wp:posOffset>
              </wp:positionV>
              <wp:extent cx="5486400" cy="685800"/>
              <wp:effectExtent b="0" l="0" r="0" t="0"/>
              <wp:wrapNone/>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486400" cy="685800"/>
                      </a:xfrm>
                      <a:prstGeom prst="rect"/>
                      <a:ln/>
                    </pic:spPr>
                  </pic:pic>
                </a:graphicData>
              </a:graphic>
            </wp:anchor>
          </w:drawing>
        </mc:Choice>
        <mc:Fallback>
          <w:drawing>
            <wp:anchor allowOverlap="0" behindDoc="0" hidden="0" layoutInCell="0" locked="0" relativeHeight="0" simplePos="0">
              <wp:simplePos x="0" y="0"/>
              <wp:positionH/>
              <wp:positionV/>
              <wp:extent cx="0" cy="0"/>
              <wp:wrapSquare wrapText="bothSides"/>
              <wp:docPr id="0"/>
              <a:graph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